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color w:val="auto"/>
          <w:sz w:val="24"/>
          <w:highlight w:val="none"/>
          <w:lang w:val="en-US" w:eastAsia="zh-CN"/>
        </w:rPr>
      </w:pPr>
      <w:r>
        <w:rPr>
          <w:rFonts w:hint="eastAsia" w:hAnsi="宋体"/>
          <w:color w:val="auto"/>
          <w:sz w:val="24"/>
          <w:highlight w:val="none"/>
          <w:lang w:eastAsia="zh-CN"/>
        </w:rPr>
        <w:t>附件</w:t>
      </w:r>
      <w:r>
        <w:rPr>
          <w:rFonts w:hint="eastAsia" w:hAnsi="宋体"/>
          <w:color w:val="auto"/>
          <w:sz w:val="24"/>
          <w:highlight w:val="none"/>
          <w:lang w:val="en-US" w:eastAsia="zh-CN"/>
        </w:rPr>
        <w:t>2：</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2625"/>
        <w:gridCol w:w="4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18" w:type="dxa"/>
            <w:vAlign w:val="top"/>
          </w:tcPr>
          <w:p>
            <w:pPr>
              <w:jc w:val="center"/>
              <w:rPr>
                <w:rFonts w:hint="default" w:hAnsi="宋体"/>
                <w:color w:val="auto"/>
                <w:sz w:val="24"/>
                <w:highlight w:val="none"/>
                <w:vertAlign w:val="baseline"/>
                <w:lang w:val="en-US" w:eastAsia="zh-CN"/>
              </w:rPr>
            </w:pPr>
            <w:r>
              <w:rPr>
                <w:rFonts w:hint="eastAsia" w:hAnsi="宋体"/>
                <w:color w:val="auto"/>
                <w:sz w:val="24"/>
                <w:highlight w:val="none"/>
                <w:vertAlign w:val="baseline"/>
                <w:lang w:val="en-US" w:eastAsia="zh-CN"/>
              </w:rPr>
              <w:t>序号</w:t>
            </w:r>
          </w:p>
        </w:tc>
        <w:tc>
          <w:tcPr>
            <w:tcW w:w="2625" w:type="dxa"/>
            <w:vAlign w:val="top"/>
          </w:tcPr>
          <w:p>
            <w:pPr>
              <w:jc w:val="center"/>
              <w:rPr>
                <w:rFonts w:hint="default" w:hAnsi="宋体"/>
                <w:color w:val="auto"/>
                <w:sz w:val="24"/>
                <w:highlight w:val="none"/>
                <w:vertAlign w:val="baseline"/>
                <w:lang w:val="en-US" w:eastAsia="zh-CN"/>
              </w:rPr>
            </w:pPr>
            <w:r>
              <w:rPr>
                <w:rFonts w:hint="eastAsia" w:hAnsi="宋体"/>
                <w:color w:val="auto"/>
                <w:sz w:val="24"/>
                <w:highlight w:val="none"/>
                <w:vertAlign w:val="baseline"/>
                <w:lang w:val="en-US" w:eastAsia="zh-CN"/>
              </w:rPr>
              <w:t>产品名称</w:t>
            </w:r>
          </w:p>
        </w:tc>
        <w:tc>
          <w:tcPr>
            <w:tcW w:w="4879" w:type="dxa"/>
            <w:vAlign w:val="top"/>
          </w:tcPr>
          <w:p>
            <w:pPr>
              <w:jc w:val="center"/>
              <w:rPr>
                <w:rFonts w:hint="default" w:hAnsi="宋体"/>
                <w:color w:val="auto"/>
                <w:sz w:val="24"/>
                <w:highlight w:val="none"/>
                <w:vertAlign w:val="baseline"/>
                <w:lang w:val="en-US" w:eastAsia="zh-CN"/>
              </w:rPr>
            </w:pPr>
            <w:r>
              <w:rPr>
                <w:rFonts w:hint="eastAsia" w:hAnsi="宋体"/>
                <w:color w:val="auto"/>
                <w:sz w:val="24"/>
                <w:highlight w:val="none"/>
                <w:vertAlign w:val="baseline"/>
                <w:lang w:val="en-US" w:eastAsia="zh-CN"/>
              </w:rPr>
              <w:t>规格及描述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int="default" w:hAnsi="宋体"/>
                <w:color w:val="auto"/>
                <w:sz w:val="24"/>
                <w:highlight w:val="none"/>
                <w:lang w:val="en-US" w:eastAsia="zh-CN"/>
              </w:rPr>
            </w:pPr>
            <w:r>
              <w:rPr>
                <w:rFonts w:hint="eastAsia" w:hAnsi="宋体"/>
                <w:color w:val="auto"/>
                <w:sz w:val="24"/>
                <w:highlight w:val="none"/>
                <w:lang w:val="en-US" w:eastAsia="zh-CN"/>
              </w:rPr>
              <w:t>1</w:t>
            </w:r>
          </w:p>
        </w:tc>
        <w:tc>
          <w:tcPr>
            <w:tcW w:w="2625" w:type="dxa"/>
            <w:vAlign w:val="center"/>
          </w:tcPr>
          <w:p>
            <w:pPr>
              <w:adjustRightInd w:val="0"/>
              <w:spacing w:line="264" w:lineRule="auto"/>
              <w:jc w:val="both"/>
              <w:outlineLvl w:val="5"/>
              <w:rPr>
                <w:rFonts w:hint="default" w:hAnsi="宋体"/>
                <w:color w:val="auto"/>
                <w:sz w:val="24"/>
                <w:highlight w:val="none"/>
                <w:lang w:val="en-US" w:eastAsia="zh-CN"/>
              </w:rPr>
            </w:pPr>
            <w:r>
              <w:rPr>
                <w:rFonts w:hint="eastAsia" w:hAnsi="宋体"/>
                <w:color w:val="auto"/>
                <w:sz w:val="24"/>
                <w:highlight w:val="none"/>
                <w:lang w:val="en-US" w:eastAsia="zh-CN"/>
              </w:rPr>
              <w:t>神经和肌肉刺激器用体表电极</w:t>
            </w:r>
          </w:p>
        </w:tc>
        <w:tc>
          <w:tcPr>
            <w:tcW w:w="4879" w:type="dxa"/>
            <w:vAlign w:val="center"/>
          </w:tcPr>
          <w:p>
            <w:pPr>
              <w:adjustRightInd w:val="0"/>
              <w:spacing w:line="264" w:lineRule="auto"/>
              <w:jc w:val="left"/>
              <w:outlineLvl w:val="5"/>
              <w:rPr>
                <w:rFonts w:hint="default" w:hAnsi="宋体"/>
                <w:color w:val="auto"/>
                <w:sz w:val="24"/>
                <w:highlight w:val="none"/>
                <w:lang w:val="en-US" w:eastAsia="zh-CN"/>
              </w:rPr>
            </w:pPr>
            <w:r>
              <w:rPr>
                <w:rFonts w:hint="eastAsia" w:hAnsi="宋体"/>
                <w:color w:val="auto"/>
                <w:sz w:val="24"/>
                <w:highlight w:val="none"/>
                <w:lang w:val="en-US" w:eastAsia="zh-CN"/>
              </w:rPr>
              <w:t>150mm,勃起功能检测使用，需匹配我院现有精子采集分析仪、男性性功能生物反馈检测仪等设备配套使用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18" w:type="dxa"/>
            <w:vAlign w:val="center"/>
          </w:tcPr>
          <w:p>
            <w:pPr>
              <w:adjustRightInd w:val="0"/>
              <w:spacing w:line="264" w:lineRule="auto"/>
              <w:jc w:val="center"/>
              <w:outlineLvl w:val="5"/>
              <w:rPr>
                <w:rFonts w:hint="default" w:hAnsi="宋体"/>
                <w:color w:val="auto"/>
                <w:sz w:val="24"/>
                <w:highlight w:val="none"/>
                <w:lang w:val="en-US" w:eastAsia="zh-CN"/>
              </w:rPr>
            </w:pPr>
            <w:r>
              <w:rPr>
                <w:rFonts w:hint="eastAsia" w:hAnsi="宋体"/>
                <w:color w:val="auto"/>
                <w:sz w:val="24"/>
                <w:highlight w:val="none"/>
                <w:lang w:val="en-US" w:eastAsia="zh-CN"/>
              </w:rPr>
              <w:t>2</w:t>
            </w:r>
          </w:p>
        </w:tc>
        <w:tc>
          <w:tcPr>
            <w:tcW w:w="2625" w:type="dxa"/>
            <w:vAlign w:val="center"/>
          </w:tcPr>
          <w:p>
            <w:pPr>
              <w:adjustRightInd w:val="0"/>
              <w:spacing w:line="264" w:lineRule="auto"/>
              <w:jc w:val="both"/>
              <w:outlineLvl w:val="5"/>
              <w:rPr>
                <w:rFonts w:hint="default" w:hAnsi="宋体"/>
                <w:color w:val="auto"/>
                <w:sz w:val="24"/>
                <w:highlight w:val="none"/>
                <w:lang w:val="en-US" w:eastAsia="zh-CN"/>
              </w:rPr>
            </w:pPr>
            <w:r>
              <w:rPr>
                <w:rFonts w:hint="eastAsia" w:hAnsi="宋体"/>
                <w:color w:val="auto"/>
                <w:sz w:val="24"/>
                <w:highlight w:val="none"/>
                <w:lang w:val="en-US" w:eastAsia="zh-CN"/>
              </w:rPr>
              <w:t>神经和肌肉刺激器用体表电极</w:t>
            </w:r>
          </w:p>
        </w:tc>
        <w:tc>
          <w:tcPr>
            <w:tcW w:w="4879" w:type="dxa"/>
            <w:vAlign w:val="center"/>
          </w:tcPr>
          <w:p>
            <w:pPr>
              <w:adjustRightInd w:val="0"/>
              <w:spacing w:line="264" w:lineRule="auto"/>
              <w:jc w:val="left"/>
              <w:outlineLvl w:val="5"/>
              <w:rPr>
                <w:rFonts w:hint="default" w:hAnsi="宋体"/>
                <w:color w:val="auto"/>
                <w:sz w:val="24"/>
                <w:highlight w:val="none"/>
                <w:lang w:val="en-US" w:eastAsia="zh-CN"/>
              </w:rPr>
            </w:pPr>
            <w:r>
              <w:rPr>
                <w:rFonts w:hint="eastAsia" w:hAnsi="宋体"/>
                <w:color w:val="auto"/>
                <w:sz w:val="24"/>
                <w:highlight w:val="none"/>
                <w:lang w:val="en-US" w:eastAsia="zh-CN"/>
              </w:rPr>
              <w:t>100mm，神经电生理检测使用，需匹配我院现有精子采集分析仪、男性性功能生物反馈检测仪等设备配套使用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18" w:type="dxa"/>
            <w:vAlign w:val="center"/>
          </w:tcPr>
          <w:p>
            <w:pPr>
              <w:adjustRightInd w:val="0"/>
              <w:spacing w:line="264" w:lineRule="auto"/>
              <w:jc w:val="center"/>
              <w:outlineLvl w:val="5"/>
              <w:rPr>
                <w:rFonts w:hint="default" w:hAnsi="宋体"/>
                <w:color w:val="auto"/>
                <w:sz w:val="24"/>
                <w:highlight w:val="none"/>
                <w:lang w:val="en-US" w:eastAsia="zh-CN"/>
              </w:rPr>
            </w:pPr>
            <w:r>
              <w:rPr>
                <w:rFonts w:hint="eastAsia" w:hAnsi="宋体"/>
                <w:color w:val="auto"/>
                <w:sz w:val="24"/>
                <w:highlight w:val="none"/>
                <w:lang w:val="en-US" w:eastAsia="zh-CN"/>
              </w:rPr>
              <w:t>3</w:t>
            </w:r>
          </w:p>
        </w:tc>
        <w:tc>
          <w:tcPr>
            <w:tcW w:w="2625" w:type="dxa"/>
            <w:vAlign w:val="center"/>
          </w:tcPr>
          <w:p>
            <w:pPr>
              <w:adjustRightInd w:val="0"/>
              <w:spacing w:line="264" w:lineRule="auto"/>
              <w:jc w:val="both"/>
              <w:outlineLvl w:val="5"/>
              <w:rPr>
                <w:rFonts w:hint="default" w:hAnsi="宋体"/>
                <w:color w:val="auto"/>
                <w:sz w:val="24"/>
                <w:highlight w:val="none"/>
                <w:lang w:val="en-US" w:eastAsia="zh-CN"/>
              </w:rPr>
            </w:pPr>
            <w:r>
              <w:rPr>
                <w:rFonts w:hint="eastAsia" w:hAnsi="宋体"/>
                <w:color w:val="auto"/>
                <w:sz w:val="24"/>
                <w:highlight w:val="none"/>
                <w:lang w:val="en-US" w:eastAsia="zh-CN"/>
              </w:rPr>
              <w:t>理疗用体表电极</w:t>
            </w:r>
          </w:p>
        </w:tc>
        <w:tc>
          <w:tcPr>
            <w:tcW w:w="4879" w:type="dxa"/>
            <w:vAlign w:val="center"/>
          </w:tcPr>
          <w:p>
            <w:pPr>
              <w:adjustRightInd w:val="0"/>
              <w:spacing w:line="264" w:lineRule="auto"/>
              <w:jc w:val="left"/>
              <w:outlineLvl w:val="5"/>
              <w:rPr>
                <w:rFonts w:hint="default" w:hAnsi="宋体"/>
                <w:color w:val="auto"/>
                <w:sz w:val="24"/>
                <w:highlight w:val="none"/>
                <w:lang w:val="en-US" w:eastAsia="zh-CN"/>
              </w:rPr>
            </w:pPr>
            <w:r>
              <w:rPr>
                <w:rFonts w:hint="eastAsia" w:hAnsi="宋体"/>
                <w:color w:val="auto"/>
                <w:sz w:val="24"/>
                <w:highlight w:val="none"/>
                <w:lang w:val="en-US" w:eastAsia="zh-CN"/>
              </w:rPr>
              <w:t>90mm*15mm,方形，需匹配我院现有精子采集分析仪、男性性功能生物反馈检测仪等设备配套使用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int="default" w:hAnsi="宋体"/>
                <w:color w:val="auto"/>
                <w:sz w:val="24"/>
                <w:highlight w:val="none"/>
                <w:lang w:val="en-US" w:eastAsia="zh-CN"/>
              </w:rPr>
            </w:pPr>
            <w:r>
              <w:rPr>
                <w:rFonts w:hint="eastAsia" w:hAnsi="宋体"/>
                <w:color w:val="auto"/>
                <w:sz w:val="24"/>
                <w:highlight w:val="none"/>
                <w:lang w:val="en-US" w:eastAsia="zh-CN"/>
              </w:rPr>
              <w:t>4</w:t>
            </w:r>
          </w:p>
        </w:tc>
        <w:tc>
          <w:tcPr>
            <w:tcW w:w="2625" w:type="dxa"/>
            <w:vAlign w:val="center"/>
          </w:tcPr>
          <w:p>
            <w:pPr>
              <w:adjustRightInd w:val="0"/>
              <w:spacing w:line="264" w:lineRule="auto"/>
              <w:jc w:val="both"/>
              <w:outlineLvl w:val="5"/>
              <w:rPr>
                <w:rFonts w:hint="default" w:hAnsi="宋体"/>
                <w:color w:val="auto"/>
                <w:sz w:val="24"/>
                <w:highlight w:val="none"/>
                <w:lang w:val="en-US" w:eastAsia="zh-CN"/>
              </w:rPr>
            </w:pPr>
            <w:r>
              <w:rPr>
                <w:rFonts w:hint="eastAsia" w:hAnsi="宋体"/>
                <w:color w:val="auto"/>
                <w:sz w:val="24"/>
                <w:highlight w:val="none"/>
                <w:lang w:val="en-US" w:eastAsia="zh-CN"/>
              </w:rPr>
              <w:t>压引流器</w:t>
            </w:r>
          </w:p>
        </w:tc>
        <w:tc>
          <w:tcPr>
            <w:tcW w:w="4879" w:type="dxa"/>
            <w:vAlign w:val="center"/>
          </w:tcPr>
          <w:p>
            <w:pPr>
              <w:adjustRightInd w:val="0"/>
              <w:spacing w:line="264" w:lineRule="auto"/>
              <w:jc w:val="left"/>
              <w:outlineLvl w:val="5"/>
              <w:rPr>
                <w:rFonts w:hint="default" w:hAnsi="宋体"/>
                <w:color w:val="auto"/>
                <w:sz w:val="24"/>
                <w:highlight w:val="none"/>
                <w:lang w:val="en-US" w:eastAsia="zh-CN"/>
              </w:rPr>
            </w:pPr>
            <w:r>
              <w:rPr>
                <w:rFonts w:hint="eastAsia" w:hAnsi="宋体"/>
                <w:color w:val="auto"/>
                <w:sz w:val="24"/>
                <w:highlight w:val="none"/>
                <w:lang w:val="en-US" w:eastAsia="zh-CN"/>
              </w:rPr>
              <w:t>容量600ml，负压治疗使用，需匹配我院现有精子采集分析仪、男性性功能生物反馈检测仪等设备配套使用</w:t>
            </w:r>
          </w:p>
        </w:tc>
      </w:tr>
    </w:tbl>
    <w:p>
      <w:pPr>
        <w:rPr>
          <w:rFonts w:hint="eastAsia"/>
          <w:color w:val="auto"/>
          <w:lang w:val="en-US" w:eastAsia="zh-CN"/>
        </w:rPr>
      </w:pPr>
      <w:r>
        <w:rPr>
          <w:rFonts w:hint="eastAsia"/>
          <w:color w:val="auto"/>
          <w:lang w:val="en-US" w:eastAsia="zh-CN"/>
        </w:rPr>
        <w:t>注：以上产品名称和规格系医院现用或初步调研得知，供应商如有名称不完全一致但功能效用完全的相同的产品也予以接受。规格如出现不同产品不一致的情况，请供应商报价精细到最小规格单价，以便于评审比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M2E1ODQwMDVlMWZjMmJlZWRlMmI2NzU5ODRjMDcifQ=="/>
  </w:docVars>
  <w:rsids>
    <w:rsidRoot w:val="7B2D106F"/>
    <w:rsid w:val="7B2D1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ind w:left="105" w:firstLine="690"/>
    </w:pPr>
    <w:rPr>
      <w:rFonts w:ascii="Times New Roman"/>
      <w:kern w:val="2"/>
      <w:sz w:val="32"/>
      <w:szCs w:val="24"/>
    </w:rPr>
  </w:style>
  <w:style w:type="paragraph" w:customStyle="1" w:styleId="3">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2024-04-09T02:19:00Z</dcterms:created>
  <dc:creator>WPS_1684913147</dc:creator>
  <cp:lastModifiedBy>WPS_1684913147</cp:lastModifiedBy>
  <dcterms:modified xsi:type="dcterms:W3CDTF">2024-04-09T02:19:51Z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33F660DC8AE24927A2F199B4383F5C2C_11</vt:lpwstr>
  </property>
</Properties>
</file>